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color w:val="FF0000"/>
          <w:w w:val="56"/>
          <w:sz w:val="144"/>
          <w:szCs w:val="144"/>
          <w:u w:val="none"/>
        </w:rPr>
      </w:pPr>
      <w:r>
        <w:rPr>
          <w:rFonts w:hint="eastAsia" w:ascii="方正小标宋简体" w:hAnsi="方正小标宋简体" w:eastAsia="方正小标宋简体" w:cs="方正小标宋简体"/>
          <w:color w:val="FF0000"/>
          <w:w w:val="56"/>
          <w:sz w:val="144"/>
          <w:szCs w:val="144"/>
          <w:u w:val="none"/>
        </w:rPr>
        <w:t>湖南交通工程学院教务处</w:t>
      </w:r>
    </w:p>
    <w:p>
      <w:pPr>
        <w:adjustRightInd w:val="0"/>
        <w:snapToGrid w:val="0"/>
        <w:spacing w:line="520" w:lineRule="exact"/>
        <w:jc w:val="right"/>
        <w:rPr>
          <w:rFonts w:ascii="仿宋_GB2312" w:hAnsi="仿宋_GB2312" w:eastAsia="仿宋_GB2312" w:cs="仿宋_GB2312"/>
          <w:color w:val="000000"/>
          <w:sz w:val="30"/>
          <w:szCs w:val="30"/>
          <w:u w:val="none"/>
        </w:rPr>
      </w:pPr>
      <w:r>
        <mc:AlternateContent>
          <mc:Choice Requires="wps">
            <w:drawing>
              <wp:anchor distT="0" distB="0" distL="114300" distR="114300" simplePos="0" relativeHeight="251665408" behindDoc="1" locked="0" layoutInCell="1" allowOverlap="1">
                <wp:simplePos x="0" y="0"/>
                <wp:positionH relativeFrom="page">
                  <wp:posOffset>1127760</wp:posOffset>
                </wp:positionH>
                <wp:positionV relativeFrom="paragraph">
                  <wp:posOffset>58420</wp:posOffset>
                </wp:positionV>
                <wp:extent cx="5686425" cy="1270"/>
                <wp:effectExtent l="0" t="26670" r="9525" b="29210"/>
                <wp:wrapTopAndBottom/>
                <wp:docPr id="2" name="任意多边形 2"/>
                <wp:cNvGraphicFramePr/>
                <a:graphic xmlns:a="http://schemas.openxmlformats.org/drawingml/2006/main">
                  <a:graphicData uri="http://schemas.microsoft.com/office/word/2010/wordprocessingShape">
                    <wps:wsp>
                      <wps:cNvSpPr/>
                      <wps:spPr>
                        <a:xfrm>
                          <a:off x="0" y="0"/>
                          <a:ext cx="5686425" cy="1270"/>
                        </a:xfrm>
                        <a:custGeom>
                          <a:avLst/>
                          <a:gdLst/>
                          <a:ahLst/>
                          <a:cxnLst/>
                          <a:rect l="0" t="0" r="0" b="0"/>
                          <a:pathLst>
                            <a:path w="8955">
                              <a:moveTo>
                                <a:pt x="0" y="0"/>
                              </a:moveTo>
                              <a:lnTo>
                                <a:pt x="8955" y="0"/>
                              </a:lnTo>
                            </a:path>
                          </a:pathLst>
                        </a:custGeom>
                        <a:noFill/>
                        <a:ln w="53975" cap="flat" cmpd="thickThin">
                          <a:solidFill>
                            <a:srgbClr val="FF0000"/>
                          </a:solidFill>
                          <a:prstDash val="solid"/>
                          <a:headEnd type="none" w="med" len="med"/>
                          <a:tailEnd type="none" w="med" len="med"/>
                        </a:ln>
                        <a:effectLst/>
                      </wps:spPr>
                      <wps:txbx>
                        <w:txbxContent>
                          <w:p>
                            <w:pPr>
                              <w:jc w:val="center"/>
                            </w:pPr>
                          </w:p>
                        </w:txbxContent>
                      </wps:txbx>
                      <wps:bodyPr upright="1"/>
                    </wps:wsp>
                  </a:graphicData>
                </a:graphic>
              </wp:anchor>
            </w:drawing>
          </mc:Choice>
          <mc:Fallback>
            <w:pict>
              <v:shape id="_x0000_s1026" o:spid="_x0000_s1026" o:spt="100" style="position:absolute;left:0pt;margin-left:88.8pt;margin-top:4.6pt;height:0.1pt;width:447.75pt;mso-position-horizontal-relative:page;mso-wrap-distance-bottom:0pt;mso-wrap-distance-top:0pt;z-index:-251651072;mso-width-relative:page;mso-height-relative:page;" filled="f" stroked="t" coordsize="8955,1" o:gfxdata="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Uuw/OtcAAAAIAQAADwAAAAAAAAAB&#10;ACAAAAAiAAAAZHJzL2Rvd25yZXYueG1sUEsBAhQAFAAAAAgAh07iQMR6fDpKAgAAxgQAAA4AAAAA&#10;AAAAAQAgAAAAJgEAAGRycy9lMm9Eb2MueG1sUEsFBgAAAAAGAAYAWQEAAOIFAAAAAA==&#10;" path="m0,0l8955,0e">
                <v:path textboxrect="0,0,8955,1270"/>
                <v:fill on="f" focussize="0,0"/>
                <v:stroke weight="4.25pt" color="#FF0000" linestyle="thickThin" joinstyle="round"/>
                <v:imagedata o:title=""/>
                <o:lock v:ext="edit" aspectratio="f"/>
                <v:textbox>
                  <w:txbxContent>
                    <w:p>
                      <w:pPr>
                        <w:jc w:val="center"/>
                      </w:pPr>
                    </w:p>
                  </w:txbxContent>
                </v:textbox>
                <w10:wrap type="topAndBottom"/>
              </v:shape>
            </w:pict>
          </mc:Fallback>
        </mc:AlternateContent>
      </w:r>
      <w:r>
        <w:rPr>
          <w:rFonts w:hint="eastAsia" w:ascii="仿宋_GB2312" w:hAnsi="仿宋_GB2312" w:eastAsia="仿宋_GB2312" w:cs="仿宋_GB2312"/>
          <w:color w:val="000000"/>
          <w:sz w:val="30"/>
          <w:szCs w:val="30"/>
          <w:u w:val="none"/>
        </w:rPr>
        <w:t>教务通</w:t>
      </w:r>
      <w:r>
        <w:rPr>
          <w:rFonts w:hint="eastAsia" w:ascii="仿宋" w:hAnsi="仿宋" w:eastAsia="仿宋" w:cs="仿宋"/>
          <w:color w:val="000000" w:themeColor="text1"/>
          <w:u w:val="none"/>
          <w14:textFill>
            <w14:solidFill>
              <w14:schemeClr w14:val="tx1"/>
            </w14:solidFill>
          </w14:textFill>
        </w:rPr>
        <w:t>〔2021〕</w:t>
      </w:r>
      <w:r>
        <w:rPr>
          <w:rFonts w:ascii="仿宋_GB2312" w:hAnsi="仿宋_GB2312" w:eastAsia="仿宋_GB2312" w:cs="仿宋_GB2312"/>
          <w:color w:val="000000"/>
          <w:sz w:val="30"/>
          <w:szCs w:val="30"/>
          <w:u w:val="none"/>
        </w:rPr>
        <w:t>3</w:t>
      </w:r>
      <w:r>
        <w:rPr>
          <w:rFonts w:hint="eastAsia" w:ascii="仿宋_GB2312" w:hAnsi="仿宋_GB2312" w:eastAsia="仿宋_GB2312" w:cs="仿宋_GB2312"/>
          <w:color w:val="000000"/>
          <w:sz w:val="30"/>
          <w:szCs w:val="30"/>
          <w:u w:val="none"/>
          <w:lang w:val="en-US" w:eastAsia="zh-CN"/>
        </w:rPr>
        <w:t>1</w:t>
      </w:r>
      <w:r>
        <w:rPr>
          <w:rFonts w:hint="eastAsia" w:ascii="仿宋_GB2312" w:hAnsi="仿宋_GB2312" w:eastAsia="仿宋_GB2312" w:cs="仿宋_GB2312"/>
          <w:color w:val="000000"/>
          <w:sz w:val="30"/>
          <w:szCs w:val="30"/>
          <w:u w:val="none"/>
        </w:rPr>
        <w:t>号</w:t>
      </w:r>
    </w:p>
    <w:p>
      <w:pPr>
        <w:pStyle w:val="2"/>
        <w:autoSpaceDE w:val="0"/>
        <w:autoSpaceDN w:val="0"/>
        <w:spacing w:line="560" w:lineRule="exact"/>
      </w:pPr>
    </w:p>
    <w:p>
      <w:pPr>
        <w:spacing w:line="600" w:lineRule="exact"/>
        <w:jc w:val="center"/>
        <w:rPr>
          <w:rFonts w:hint="eastAsia" w:ascii="黑体" w:hAnsi="黑体" w:eastAsia="黑体" w:cs="黑体"/>
          <w:b/>
          <w:bCs/>
          <w:color w:val="000000"/>
          <w:sz w:val="44"/>
          <w:szCs w:val="44"/>
          <w:u w:val="none"/>
        </w:rPr>
      </w:pPr>
      <w:r>
        <w:rPr>
          <w:rFonts w:hint="eastAsia" w:ascii="黑体" w:hAnsi="黑体" w:eastAsia="黑体" w:cs="黑体"/>
          <w:b/>
          <w:bCs/>
          <w:color w:val="000000"/>
          <w:sz w:val="44"/>
          <w:szCs w:val="44"/>
          <w:u w:val="none"/>
        </w:rPr>
        <w:t>关于做好2022年上半年全国计算机等级考试</w:t>
      </w:r>
    </w:p>
    <w:p>
      <w:pPr>
        <w:spacing w:line="600" w:lineRule="exact"/>
        <w:jc w:val="center"/>
        <w:rPr>
          <w:rFonts w:ascii="黑体" w:hAnsi="黑体" w:eastAsia="黑体" w:cs="宋体"/>
          <w:b/>
          <w:bCs/>
          <w:color w:val="000000"/>
          <w:sz w:val="44"/>
          <w:szCs w:val="44"/>
          <w:u w:val="none"/>
        </w:rPr>
      </w:pPr>
      <w:r>
        <w:rPr>
          <w:rFonts w:hint="eastAsia" w:ascii="黑体" w:hAnsi="黑体" w:eastAsia="黑体" w:cs="黑体"/>
          <w:b/>
          <w:bCs/>
          <w:color w:val="000000"/>
          <w:sz w:val="44"/>
          <w:szCs w:val="44"/>
          <w:u w:val="none"/>
        </w:rPr>
        <w:t>报名工作的通知</w:t>
      </w:r>
    </w:p>
    <w:p>
      <w:pPr>
        <w:spacing w:line="480" w:lineRule="exact"/>
        <w:rPr>
          <w:rFonts w:hint="eastAsia" w:ascii="仿宋" w:hAnsi="仿宋" w:eastAsia="仿宋" w:cs="仿宋"/>
          <w:color w:val="000000"/>
          <w:sz w:val="28"/>
          <w:szCs w:val="28"/>
          <w:u w:val="none"/>
        </w:rPr>
      </w:pPr>
    </w:p>
    <w:p>
      <w:pPr>
        <w:spacing w:line="480" w:lineRule="exact"/>
        <w:rPr>
          <w:rFonts w:hint="eastAsia" w:ascii="仿宋" w:hAnsi="仿宋" w:eastAsia="仿宋" w:cs="仿宋"/>
          <w:b/>
          <w:bCs/>
          <w:color w:val="000000"/>
          <w:sz w:val="28"/>
          <w:szCs w:val="28"/>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30"/>
          <w:szCs w:val="30"/>
          <w:u w:val="none"/>
        </w:rPr>
      </w:pPr>
      <w:r>
        <w:rPr>
          <w:rFonts w:hint="eastAsia" w:ascii="仿宋" w:hAnsi="仿宋" w:eastAsia="仿宋" w:cs="仿宋"/>
          <w:b/>
          <w:bCs/>
          <w:color w:val="000000"/>
          <w:sz w:val="30"/>
          <w:szCs w:val="30"/>
          <w:u w:val="none"/>
        </w:rPr>
        <w:t>各二级学院（部）：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u w:val="none"/>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2022年上半年全国计算机等级考试（以下简称NCRE，第64次）定于3月26日至28日举行。根据湖南省教育考试院《关于做好2022年上半年全国计算机等级考试报名工作的通知》（湘教考社字〔2021〕8号）的精神，为做好本次考试报名相关工作，现将有关事项通知如下：</w:t>
      </w: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ind w:firstLine="643" w:firstLineChars="200"/>
        <w:textAlignment w:val="auto"/>
        <w:rPr>
          <w:rFonts w:hint="eastAsia" w:ascii="黑体" w:hAnsi="黑体" w:eastAsia="黑体" w:cs="黑体"/>
          <w:b/>
          <w:bCs/>
          <w:color w:val="000000"/>
          <w:sz w:val="32"/>
          <w:szCs w:val="32"/>
          <w:u w:val="none"/>
        </w:rPr>
      </w:pPr>
      <w:r>
        <w:rPr>
          <w:rFonts w:hint="eastAsia" w:ascii="黑体" w:hAnsi="黑体" w:eastAsia="黑体" w:cs="黑体"/>
          <w:b/>
          <w:bCs/>
          <w:color w:val="000000"/>
          <w:sz w:val="32"/>
          <w:szCs w:val="32"/>
          <w:u w:val="none"/>
        </w:rPr>
        <w:t>一、网上报名时间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2022年1月5日9:00时起至8日19:00时，不接受补报名</w:t>
      </w:r>
      <w:r>
        <w:rPr>
          <w:rFonts w:hint="eastAsia" w:ascii="仿宋" w:hAnsi="仿宋" w:eastAsia="仿宋" w:cs="仿宋"/>
          <w:color w:val="000000"/>
          <w:sz w:val="30"/>
          <w:szCs w:val="30"/>
          <w:u w:val="none"/>
          <w:shd w:val="clear" w:color="auto" w:fill="FFFFFF"/>
        </w:rPr>
        <w:t>。</w:t>
      </w: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ind w:firstLine="643" w:firstLineChars="200"/>
        <w:textAlignment w:val="auto"/>
        <w:rPr>
          <w:rFonts w:hint="eastAsia" w:ascii="黑体" w:hAnsi="黑体" w:eastAsia="黑体" w:cs="黑体"/>
          <w:b/>
          <w:bCs/>
          <w:color w:val="000000"/>
          <w:sz w:val="32"/>
          <w:szCs w:val="32"/>
          <w:u w:val="none"/>
        </w:rPr>
      </w:pPr>
      <w:r>
        <w:rPr>
          <w:rFonts w:hint="eastAsia" w:ascii="黑体" w:hAnsi="黑体" w:eastAsia="黑体" w:cs="黑体"/>
          <w:b/>
          <w:bCs/>
          <w:color w:val="000000"/>
          <w:sz w:val="32"/>
          <w:szCs w:val="32"/>
          <w:u w:val="none"/>
        </w:rPr>
        <w:t>二、网上报名网址</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考生报名网址：</w:t>
      </w:r>
      <w:r>
        <w:rPr>
          <w:rFonts w:hint="eastAsia" w:ascii="仿宋" w:hAnsi="仿宋" w:eastAsia="仿宋" w:cs="仿宋"/>
          <w:sz w:val="30"/>
          <w:szCs w:val="30"/>
          <w:u w:val="none"/>
        </w:rPr>
        <w:t>https://ncre-bm.neea.cn。</w:t>
      </w:r>
      <w:r>
        <w:rPr>
          <w:color w:val="auto"/>
          <w:sz w:val="30"/>
          <w:szCs w:val="30"/>
        </w:rPr>
        <mc:AlternateContent>
          <mc:Choice Requires="wps">
            <w:drawing>
              <wp:anchor distT="0" distB="0" distL="114300" distR="114300" simplePos="0" relativeHeight="251666432" behindDoc="0" locked="0" layoutInCell="1" allowOverlap="1">
                <wp:simplePos x="0" y="0"/>
                <wp:positionH relativeFrom="column">
                  <wp:posOffset>919480</wp:posOffset>
                </wp:positionH>
                <wp:positionV relativeFrom="paragraph">
                  <wp:posOffset>10167620</wp:posOffset>
                </wp:positionV>
                <wp:extent cx="5753100" cy="635"/>
                <wp:effectExtent l="0" t="28575" r="0" b="46990"/>
                <wp:wrapNone/>
                <wp:docPr id="3" name="直接连接符 3"/>
                <wp:cNvGraphicFramePr/>
                <a:graphic xmlns:a="http://schemas.openxmlformats.org/drawingml/2006/main">
                  <a:graphicData uri="http://schemas.microsoft.com/office/word/2010/wordprocessingShape">
                    <wps:wsp>
                      <wps:cNvCnPr/>
                      <wps:spPr>
                        <a:xfrm>
                          <a:off x="0" y="0"/>
                          <a:ext cx="5753100" cy="635"/>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2.4pt;margin-top:800.6pt;height:0.05pt;width:453pt;z-index:251666432;mso-width-relative:page;mso-height-relative:page;" filled="f" stroked="t" coordsize="21600,21600" o:gfxdata="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sgI5dgAAAAOAQAADwAAAAAAAAABACAAAAAiAAAAZHJzL2Rvd25yZXYu&#10;eG1sUEsBAhQAFAAAAAgAh07iQA5hByn7AQAA7QMAAA4AAAAAAAAAAQAgAAAAJwEAAGRycy9lMm9E&#10;b2MueG1sUEsFBgAAAAAGAAYAWQEAAJQFAAAAAA==&#10;">
                <v:fill on="f" focussize="0,0"/>
                <v:stroke weight="4.5pt" color="#FF0000" linestyle="thinThick" joinstyle="round"/>
                <v:imagedata o:title=""/>
                <o:lock v:ext="edit" aspectratio="f"/>
              </v:line>
            </w:pict>
          </mc:Fallback>
        </mc:AlternateContent>
      </w:r>
    </w:p>
    <w:p>
      <w:pPr>
        <w:keepNext/>
        <w:keepLines w:val="0"/>
        <w:pageBreakBefore w:val="0"/>
        <w:widowControl w:val="0"/>
        <w:kinsoku/>
        <w:wordWrap/>
        <w:overflowPunct/>
        <w:topLinePunct w:val="0"/>
        <w:autoSpaceDE/>
        <w:autoSpaceDN/>
        <w:bidi w:val="0"/>
        <w:adjustRightInd/>
        <w:snapToGrid/>
        <w:spacing w:before="219" w:beforeLines="50" w:after="219" w:afterLines="50" w:line="560" w:lineRule="exact"/>
        <w:ind w:firstLine="643" w:firstLineChars="200"/>
        <w:textAlignment w:val="auto"/>
        <w:rPr>
          <w:rFonts w:hint="eastAsia" w:ascii="黑体" w:hAnsi="黑体" w:eastAsia="黑体" w:cs="黑体"/>
          <w:b/>
          <w:bCs/>
          <w:color w:val="000000"/>
          <w:sz w:val="32"/>
          <w:szCs w:val="32"/>
          <w:u w:val="none"/>
        </w:rPr>
      </w:pPr>
      <w:r>
        <w:rPr>
          <w:rFonts w:hint="eastAsia" w:ascii="黑体" w:hAnsi="黑体" w:eastAsia="黑体" w:cs="黑体"/>
          <w:b/>
          <w:bCs/>
          <w:color w:val="000000"/>
          <w:sz w:val="32"/>
          <w:szCs w:val="32"/>
          <w:u w:val="none"/>
          <w:lang w:eastAsia="zh-CN"/>
        </w:rPr>
        <w:t>三、</w:t>
      </w:r>
      <w:r>
        <w:rPr>
          <w:rFonts w:hint="eastAsia" w:ascii="黑体" w:hAnsi="黑体" w:eastAsia="黑体" w:cs="黑体"/>
          <w:b/>
          <w:bCs/>
          <w:color w:val="000000"/>
          <w:sz w:val="32"/>
          <w:szCs w:val="32"/>
          <w:u w:val="none"/>
        </w:rPr>
        <w:t>可报考科目</w:t>
      </w:r>
    </w:p>
    <w:tbl>
      <w:tblPr>
        <w:tblStyle w:val="10"/>
        <w:tblW w:w="50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1395"/>
        <w:gridCol w:w="2466"/>
        <w:gridCol w:w="1804"/>
        <w:gridCol w:w="1246"/>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622" w:type="pct"/>
            <w:vAlign w:val="center"/>
          </w:tcPr>
          <w:p>
            <w:pPr>
              <w:keepNext/>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等级</w:t>
            </w:r>
          </w:p>
        </w:tc>
        <w:tc>
          <w:tcPr>
            <w:tcW w:w="752" w:type="pct"/>
            <w:vAlign w:val="center"/>
          </w:tcPr>
          <w:p>
            <w:pPr>
              <w:keepNext/>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科目代码</w:t>
            </w:r>
          </w:p>
        </w:tc>
        <w:tc>
          <w:tcPr>
            <w:tcW w:w="1330" w:type="pct"/>
            <w:vAlign w:val="center"/>
          </w:tcPr>
          <w:p>
            <w:pPr>
              <w:keepNext/>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科目类别</w:t>
            </w:r>
          </w:p>
        </w:tc>
        <w:tc>
          <w:tcPr>
            <w:tcW w:w="973" w:type="pct"/>
            <w:vAlign w:val="center"/>
          </w:tcPr>
          <w:p>
            <w:pPr>
              <w:keepNext/>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培训费</w:t>
            </w:r>
          </w:p>
        </w:tc>
        <w:tc>
          <w:tcPr>
            <w:tcW w:w="672" w:type="pct"/>
            <w:vAlign w:val="center"/>
          </w:tcPr>
          <w:p>
            <w:pPr>
              <w:keepNext/>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报考费用</w:t>
            </w:r>
          </w:p>
        </w:tc>
        <w:tc>
          <w:tcPr>
            <w:tcW w:w="649" w:type="pct"/>
            <w:vAlign w:val="center"/>
          </w:tcPr>
          <w:p>
            <w:pPr>
              <w:keepNext/>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培训课时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vAlign w:val="center"/>
          </w:tcPr>
          <w:p>
            <w:pPr>
              <w:spacing w:line="480" w:lineRule="exact"/>
              <w:jc w:val="center"/>
              <w:rPr>
                <w:rFonts w:hint="eastAsia" w:ascii="宋体" w:hAnsi="宋体" w:eastAsia="宋体" w:cs="宋体"/>
                <w:b w:val="0"/>
                <w:bCs w:val="0"/>
                <w:color w:val="000000"/>
                <w:sz w:val="24"/>
                <w:szCs w:val="24"/>
                <w:u w:val="none"/>
              </w:rPr>
            </w:pPr>
            <w:r>
              <w:rPr>
                <w:rFonts w:hint="eastAsia" w:ascii="宋体" w:hAnsi="宋体" w:eastAsia="宋体" w:cs="宋体"/>
                <w:b w:val="0"/>
                <w:bCs w:val="0"/>
                <w:color w:val="000000"/>
                <w:sz w:val="24"/>
                <w:szCs w:val="24"/>
                <w:u w:val="none"/>
              </w:rPr>
              <w:t>一级</w:t>
            </w:r>
          </w:p>
        </w:tc>
        <w:tc>
          <w:tcPr>
            <w:tcW w:w="752" w:type="pct"/>
            <w:vAlign w:val="center"/>
          </w:tcPr>
          <w:p>
            <w:pPr>
              <w:spacing w:line="480" w:lineRule="exact"/>
              <w:jc w:val="center"/>
              <w:rPr>
                <w:rFonts w:hint="eastAsia" w:ascii="宋体" w:hAnsi="宋体" w:eastAsia="宋体" w:cs="宋体"/>
                <w:b w:val="0"/>
                <w:bCs w:val="0"/>
                <w:color w:val="000000"/>
                <w:sz w:val="24"/>
                <w:szCs w:val="24"/>
                <w:u w:val="none"/>
              </w:rPr>
            </w:pPr>
            <w:r>
              <w:rPr>
                <w:rFonts w:hint="eastAsia" w:ascii="宋体" w:hAnsi="宋体" w:eastAsia="宋体" w:cs="宋体"/>
                <w:b w:val="0"/>
                <w:bCs w:val="0"/>
                <w:color w:val="000000"/>
                <w:sz w:val="24"/>
                <w:szCs w:val="24"/>
                <w:u w:val="none"/>
              </w:rPr>
              <w:t>14</w:t>
            </w:r>
          </w:p>
        </w:tc>
        <w:tc>
          <w:tcPr>
            <w:tcW w:w="1330" w:type="pct"/>
            <w:vAlign w:val="center"/>
          </w:tcPr>
          <w:p>
            <w:pPr>
              <w:spacing w:line="400" w:lineRule="exact"/>
              <w:jc w:val="center"/>
              <w:rPr>
                <w:rFonts w:hint="eastAsia" w:ascii="宋体" w:hAnsi="宋体" w:eastAsia="宋体" w:cs="宋体"/>
                <w:b w:val="0"/>
                <w:bCs w:val="0"/>
                <w:color w:val="000000"/>
                <w:sz w:val="24"/>
                <w:szCs w:val="24"/>
                <w:u w:val="none"/>
              </w:rPr>
            </w:pPr>
            <w:r>
              <w:rPr>
                <w:rFonts w:hint="eastAsia" w:ascii="宋体" w:hAnsi="宋体" w:eastAsia="宋体" w:cs="宋体"/>
                <w:b w:val="0"/>
                <w:bCs w:val="0"/>
                <w:color w:val="000000"/>
                <w:sz w:val="24"/>
                <w:szCs w:val="24"/>
                <w:u w:val="none"/>
              </w:rPr>
              <w:t>计算机基础及WPS Office应用</w:t>
            </w:r>
          </w:p>
        </w:tc>
        <w:tc>
          <w:tcPr>
            <w:tcW w:w="973" w:type="pct"/>
            <w:vAlign w:val="center"/>
          </w:tcPr>
          <w:p>
            <w:pPr>
              <w:spacing w:line="480" w:lineRule="exact"/>
              <w:jc w:val="center"/>
              <w:rPr>
                <w:rFonts w:hint="eastAsia" w:ascii="宋体" w:hAnsi="宋体" w:eastAsia="宋体" w:cs="宋体"/>
                <w:b w:val="0"/>
                <w:bCs w:val="0"/>
                <w:color w:val="000000"/>
                <w:sz w:val="24"/>
                <w:szCs w:val="24"/>
                <w:u w:val="none"/>
              </w:rPr>
            </w:pPr>
            <w:r>
              <w:rPr>
                <w:rFonts w:hint="eastAsia" w:ascii="宋体" w:hAnsi="宋体" w:eastAsia="宋体" w:cs="宋体"/>
                <w:b w:val="0"/>
                <w:bCs w:val="0"/>
                <w:color w:val="000000"/>
                <w:sz w:val="24"/>
                <w:szCs w:val="24"/>
                <w:u w:val="none"/>
              </w:rPr>
              <w:t>200元/人</w:t>
            </w:r>
          </w:p>
        </w:tc>
        <w:tc>
          <w:tcPr>
            <w:tcW w:w="672" w:type="pct"/>
            <w:vMerge w:val="restart"/>
            <w:vAlign w:val="center"/>
          </w:tcPr>
          <w:p>
            <w:pPr>
              <w:spacing w:line="480" w:lineRule="exact"/>
              <w:jc w:val="center"/>
              <w:rPr>
                <w:rFonts w:hint="eastAsia" w:ascii="宋体" w:hAnsi="宋体" w:eastAsia="宋体" w:cs="宋体"/>
                <w:b w:val="0"/>
                <w:bCs w:val="0"/>
                <w:color w:val="000000"/>
                <w:sz w:val="24"/>
                <w:szCs w:val="24"/>
                <w:u w:val="none"/>
              </w:rPr>
            </w:pPr>
            <w:r>
              <w:rPr>
                <w:rFonts w:hint="eastAsia" w:ascii="宋体" w:hAnsi="宋体" w:eastAsia="宋体" w:cs="宋体"/>
                <w:b w:val="0"/>
                <w:bCs w:val="0"/>
                <w:color w:val="000000"/>
                <w:sz w:val="24"/>
                <w:szCs w:val="24"/>
                <w:u w:val="none"/>
              </w:rPr>
              <w:t>95/人</w:t>
            </w:r>
          </w:p>
        </w:tc>
        <w:tc>
          <w:tcPr>
            <w:tcW w:w="649" w:type="pct"/>
            <w:vMerge w:val="restart"/>
            <w:vAlign w:val="center"/>
          </w:tcPr>
          <w:p>
            <w:pPr>
              <w:spacing w:line="480" w:lineRule="exact"/>
              <w:jc w:val="center"/>
              <w:rPr>
                <w:rFonts w:hint="eastAsia" w:ascii="宋体" w:hAnsi="宋体" w:eastAsia="宋体" w:cs="宋体"/>
                <w:b w:val="0"/>
                <w:bCs w:val="0"/>
                <w:color w:val="000000"/>
                <w:sz w:val="24"/>
                <w:szCs w:val="24"/>
                <w:u w:val="none"/>
              </w:rPr>
            </w:pPr>
            <w:r>
              <w:rPr>
                <w:rFonts w:hint="eastAsia" w:ascii="宋体" w:hAnsi="宋体" w:eastAsia="宋体" w:cs="宋体"/>
                <w:b w:val="0"/>
                <w:bCs w:val="0"/>
                <w:color w:val="000000"/>
                <w:sz w:val="24"/>
                <w:szCs w:val="24"/>
                <w:u w:val="none"/>
              </w:rPr>
              <w:t>30课时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22" w:type="pct"/>
            <w:vMerge w:val="restart"/>
            <w:vAlign w:val="center"/>
          </w:tcPr>
          <w:p>
            <w:pPr>
              <w:spacing w:line="480" w:lineRule="exact"/>
              <w:jc w:val="center"/>
              <w:rPr>
                <w:rFonts w:hint="eastAsia" w:ascii="宋体" w:hAnsi="宋体" w:eastAsia="宋体" w:cs="宋体"/>
                <w:b w:val="0"/>
                <w:bCs w:val="0"/>
                <w:color w:val="000000"/>
                <w:sz w:val="24"/>
                <w:szCs w:val="24"/>
                <w:u w:val="none"/>
              </w:rPr>
            </w:pPr>
            <w:r>
              <w:rPr>
                <w:rFonts w:hint="eastAsia" w:ascii="宋体" w:hAnsi="宋体" w:eastAsia="宋体" w:cs="宋体"/>
                <w:b w:val="0"/>
                <w:bCs w:val="0"/>
                <w:color w:val="000000"/>
                <w:sz w:val="24"/>
                <w:szCs w:val="24"/>
                <w:u w:val="none"/>
              </w:rPr>
              <w:t>二级</w:t>
            </w:r>
          </w:p>
        </w:tc>
        <w:tc>
          <w:tcPr>
            <w:tcW w:w="752" w:type="pct"/>
            <w:vAlign w:val="center"/>
          </w:tcPr>
          <w:p>
            <w:pPr>
              <w:spacing w:line="480" w:lineRule="exact"/>
              <w:jc w:val="center"/>
              <w:rPr>
                <w:rFonts w:hint="eastAsia" w:ascii="宋体" w:hAnsi="宋体" w:eastAsia="宋体" w:cs="宋体"/>
                <w:b w:val="0"/>
                <w:bCs w:val="0"/>
                <w:color w:val="000000"/>
                <w:sz w:val="24"/>
                <w:szCs w:val="24"/>
                <w:u w:val="none"/>
              </w:rPr>
            </w:pPr>
            <w:r>
              <w:rPr>
                <w:rFonts w:hint="eastAsia" w:ascii="宋体" w:hAnsi="宋体" w:eastAsia="宋体" w:cs="宋体"/>
                <w:b w:val="0"/>
                <w:bCs w:val="0"/>
                <w:color w:val="000000"/>
                <w:sz w:val="24"/>
                <w:szCs w:val="24"/>
                <w:u w:val="none"/>
              </w:rPr>
              <w:t>24</w:t>
            </w:r>
          </w:p>
        </w:tc>
        <w:tc>
          <w:tcPr>
            <w:tcW w:w="1330" w:type="pct"/>
            <w:vAlign w:val="center"/>
          </w:tcPr>
          <w:p>
            <w:pPr>
              <w:spacing w:line="480" w:lineRule="exact"/>
              <w:jc w:val="center"/>
              <w:rPr>
                <w:rFonts w:hint="eastAsia" w:ascii="宋体" w:hAnsi="宋体" w:eastAsia="宋体" w:cs="宋体"/>
                <w:b w:val="0"/>
                <w:bCs w:val="0"/>
                <w:color w:val="000000"/>
                <w:sz w:val="24"/>
                <w:szCs w:val="24"/>
                <w:u w:val="none"/>
              </w:rPr>
            </w:pPr>
            <w:r>
              <w:rPr>
                <w:rFonts w:hint="eastAsia" w:ascii="宋体" w:hAnsi="宋体" w:eastAsia="宋体" w:cs="宋体"/>
                <w:b w:val="0"/>
                <w:bCs w:val="0"/>
                <w:color w:val="000000"/>
                <w:sz w:val="24"/>
                <w:szCs w:val="24"/>
                <w:u w:val="none"/>
              </w:rPr>
              <w:t>C语言程序设计</w:t>
            </w:r>
          </w:p>
        </w:tc>
        <w:tc>
          <w:tcPr>
            <w:tcW w:w="973" w:type="pct"/>
            <w:vMerge w:val="restart"/>
            <w:vAlign w:val="center"/>
          </w:tcPr>
          <w:p>
            <w:pPr>
              <w:spacing w:line="480" w:lineRule="exact"/>
              <w:jc w:val="center"/>
              <w:rPr>
                <w:rFonts w:hint="eastAsia" w:ascii="宋体" w:hAnsi="宋体" w:eastAsia="宋体" w:cs="宋体"/>
                <w:b w:val="0"/>
                <w:bCs w:val="0"/>
                <w:color w:val="000000"/>
                <w:sz w:val="24"/>
                <w:szCs w:val="24"/>
                <w:u w:val="none"/>
              </w:rPr>
            </w:pPr>
            <w:r>
              <w:rPr>
                <w:rFonts w:hint="eastAsia" w:ascii="宋体" w:hAnsi="宋体" w:eastAsia="宋体" w:cs="宋体"/>
                <w:b w:val="0"/>
                <w:bCs w:val="0"/>
                <w:color w:val="000000"/>
                <w:sz w:val="24"/>
                <w:szCs w:val="24"/>
                <w:u w:val="none"/>
              </w:rPr>
              <w:t>2</w:t>
            </w:r>
            <w:r>
              <w:rPr>
                <w:rFonts w:hint="eastAsia" w:ascii="宋体" w:hAnsi="宋体" w:eastAsia="宋体" w:cs="宋体"/>
                <w:b w:val="0"/>
                <w:bCs w:val="0"/>
                <w:color w:val="000000"/>
                <w:sz w:val="24"/>
                <w:szCs w:val="24"/>
                <w:u w:val="none"/>
                <w:lang w:val="en-US" w:eastAsia="zh-CN"/>
              </w:rPr>
              <w:t>80</w:t>
            </w:r>
            <w:r>
              <w:rPr>
                <w:rFonts w:hint="eastAsia" w:ascii="宋体" w:hAnsi="宋体" w:eastAsia="宋体" w:cs="宋体"/>
                <w:b w:val="0"/>
                <w:bCs w:val="0"/>
                <w:color w:val="000000"/>
                <w:sz w:val="24"/>
                <w:szCs w:val="24"/>
                <w:u w:val="none"/>
              </w:rPr>
              <w:t>元/人</w:t>
            </w:r>
          </w:p>
        </w:tc>
        <w:tc>
          <w:tcPr>
            <w:tcW w:w="672" w:type="pct"/>
            <w:vMerge w:val="continue"/>
          </w:tcPr>
          <w:p>
            <w:pPr>
              <w:spacing w:line="480" w:lineRule="exact"/>
              <w:jc w:val="left"/>
              <w:rPr>
                <w:rFonts w:hint="eastAsia" w:ascii="宋体" w:hAnsi="宋体" w:eastAsia="宋体" w:cs="宋体"/>
                <w:b w:val="0"/>
                <w:bCs w:val="0"/>
                <w:color w:val="000000"/>
                <w:sz w:val="24"/>
                <w:szCs w:val="24"/>
                <w:u w:val="none"/>
              </w:rPr>
            </w:pPr>
          </w:p>
        </w:tc>
        <w:tc>
          <w:tcPr>
            <w:tcW w:w="649" w:type="pct"/>
            <w:vMerge w:val="continue"/>
          </w:tcPr>
          <w:p>
            <w:pPr>
              <w:spacing w:line="480" w:lineRule="exact"/>
              <w:jc w:val="left"/>
              <w:rPr>
                <w:rFonts w:hint="eastAsia" w:ascii="宋体" w:hAnsi="宋体" w:eastAsia="宋体" w:cs="宋体"/>
                <w:b w:val="0"/>
                <w:b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22" w:type="pct"/>
            <w:vMerge w:val="continue"/>
            <w:vAlign w:val="center"/>
          </w:tcPr>
          <w:p>
            <w:pPr>
              <w:spacing w:line="480" w:lineRule="exact"/>
              <w:jc w:val="center"/>
              <w:rPr>
                <w:rFonts w:hint="eastAsia" w:ascii="宋体" w:hAnsi="宋体" w:eastAsia="宋体" w:cs="宋体"/>
                <w:b w:val="0"/>
                <w:bCs w:val="0"/>
                <w:color w:val="000000"/>
                <w:sz w:val="24"/>
                <w:szCs w:val="24"/>
                <w:u w:val="none"/>
              </w:rPr>
            </w:pPr>
          </w:p>
        </w:tc>
        <w:tc>
          <w:tcPr>
            <w:tcW w:w="752" w:type="pct"/>
            <w:vAlign w:val="center"/>
          </w:tcPr>
          <w:p>
            <w:pPr>
              <w:spacing w:line="480" w:lineRule="exact"/>
              <w:jc w:val="center"/>
              <w:rPr>
                <w:rFonts w:hint="eastAsia" w:ascii="宋体" w:hAnsi="宋体" w:eastAsia="宋体" w:cs="宋体"/>
                <w:b w:val="0"/>
                <w:bCs w:val="0"/>
                <w:color w:val="000000"/>
                <w:sz w:val="24"/>
                <w:szCs w:val="24"/>
                <w:u w:val="none"/>
              </w:rPr>
            </w:pPr>
            <w:r>
              <w:rPr>
                <w:rFonts w:hint="eastAsia" w:ascii="宋体" w:hAnsi="宋体" w:eastAsia="宋体" w:cs="宋体"/>
                <w:b w:val="0"/>
                <w:bCs w:val="0"/>
                <w:color w:val="000000"/>
                <w:sz w:val="24"/>
                <w:szCs w:val="24"/>
                <w:u w:val="none"/>
              </w:rPr>
              <w:t>28</w:t>
            </w:r>
          </w:p>
        </w:tc>
        <w:tc>
          <w:tcPr>
            <w:tcW w:w="1330" w:type="pct"/>
            <w:vAlign w:val="center"/>
          </w:tcPr>
          <w:p>
            <w:pPr>
              <w:spacing w:line="480" w:lineRule="exact"/>
              <w:jc w:val="center"/>
              <w:rPr>
                <w:rFonts w:hint="eastAsia" w:ascii="宋体" w:hAnsi="宋体" w:eastAsia="宋体" w:cs="宋体"/>
                <w:b w:val="0"/>
                <w:bCs w:val="0"/>
                <w:color w:val="000000"/>
                <w:sz w:val="24"/>
                <w:szCs w:val="24"/>
                <w:u w:val="none"/>
              </w:rPr>
            </w:pPr>
            <w:r>
              <w:rPr>
                <w:rFonts w:hint="eastAsia" w:ascii="宋体" w:hAnsi="宋体" w:eastAsia="宋体" w:cs="宋体"/>
                <w:b w:val="0"/>
                <w:bCs w:val="0"/>
                <w:color w:val="000000"/>
                <w:sz w:val="24"/>
                <w:szCs w:val="24"/>
                <w:u w:val="none"/>
              </w:rPr>
              <w:t>Java语言程序设计</w:t>
            </w:r>
          </w:p>
        </w:tc>
        <w:tc>
          <w:tcPr>
            <w:tcW w:w="973" w:type="pct"/>
            <w:vMerge w:val="continue"/>
          </w:tcPr>
          <w:p>
            <w:pPr>
              <w:spacing w:line="480" w:lineRule="exact"/>
              <w:jc w:val="center"/>
              <w:rPr>
                <w:rFonts w:hint="eastAsia" w:ascii="宋体" w:hAnsi="宋体" w:eastAsia="宋体" w:cs="宋体"/>
                <w:b w:val="0"/>
                <w:bCs w:val="0"/>
                <w:color w:val="000000"/>
                <w:sz w:val="24"/>
                <w:szCs w:val="24"/>
                <w:u w:val="none"/>
              </w:rPr>
            </w:pPr>
          </w:p>
        </w:tc>
        <w:tc>
          <w:tcPr>
            <w:tcW w:w="672" w:type="pct"/>
            <w:vMerge w:val="continue"/>
          </w:tcPr>
          <w:p>
            <w:pPr>
              <w:spacing w:line="480" w:lineRule="exact"/>
              <w:jc w:val="left"/>
              <w:rPr>
                <w:rFonts w:hint="eastAsia" w:ascii="宋体" w:hAnsi="宋体" w:eastAsia="宋体" w:cs="宋体"/>
                <w:b w:val="0"/>
                <w:bCs w:val="0"/>
                <w:color w:val="000000"/>
                <w:sz w:val="24"/>
                <w:szCs w:val="24"/>
                <w:u w:val="none"/>
              </w:rPr>
            </w:pPr>
          </w:p>
        </w:tc>
        <w:tc>
          <w:tcPr>
            <w:tcW w:w="649" w:type="pct"/>
            <w:vMerge w:val="continue"/>
          </w:tcPr>
          <w:p>
            <w:pPr>
              <w:spacing w:line="480" w:lineRule="exact"/>
              <w:jc w:val="left"/>
              <w:rPr>
                <w:rFonts w:hint="eastAsia" w:ascii="宋体" w:hAnsi="宋体" w:eastAsia="宋体" w:cs="宋体"/>
                <w:b w:val="0"/>
                <w:b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vMerge w:val="continue"/>
            <w:vAlign w:val="center"/>
          </w:tcPr>
          <w:p>
            <w:pPr>
              <w:spacing w:line="480" w:lineRule="exact"/>
              <w:jc w:val="center"/>
              <w:rPr>
                <w:rFonts w:hint="eastAsia" w:ascii="宋体" w:hAnsi="宋体" w:eastAsia="宋体" w:cs="宋体"/>
                <w:b w:val="0"/>
                <w:bCs w:val="0"/>
                <w:color w:val="000000"/>
                <w:sz w:val="24"/>
                <w:szCs w:val="24"/>
                <w:u w:val="none"/>
              </w:rPr>
            </w:pPr>
          </w:p>
        </w:tc>
        <w:tc>
          <w:tcPr>
            <w:tcW w:w="752" w:type="pct"/>
            <w:vAlign w:val="center"/>
          </w:tcPr>
          <w:p>
            <w:pPr>
              <w:spacing w:line="480" w:lineRule="exact"/>
              <w:jc w:val="center"/>
              <w:rPr>
                <w:rFonts w:hint="eastAsia" w:ascii="宋体" w:hAnsi="宋体" w:eastAsia="宋体" w:cs="宋体"/>
                <w:b w:val="0"/>
                <w:bCs w:val="0"/>
                <w:color w:val="000000"/>
                <w:sz w:val="24"/>
                <w:szCs w:val="24"/>
                <w:u w:val="none"/>
              </w:rPr>
            </w:pPr>
            <w:r>
              <w:rPr>
                <w:rFonts w:hint="eastAsia" w:ascii="宋体" w:hAnsi="宋体" w:eastAsia="宋体" w:cs="宋体"/>
                <w:b w:val="0"/>
                <w:bCs w:val="0"/>
                <w:color w:val="000000"/>
                <w:sz w:val="24"/>
                <w:szCs w:val="24"/>
                <w:u w:val="none"/>
              </w:rPr>
              <w:t>66</w:t>
            </w:r>
          </w:p>
        </w:tc>
        <w:tc>
          <w:tcPr>
            <w:tcW w:w="1330" w:type="pct"/>
            <w:vAlign w:val="center"/>
          </w:tcPr>
          <w:p>
            <w:pPr>
              <w:spacing w:line="480" w:lineRule="exact"/>
              <w:jc w:val="center"/>
              <w:rPr>
                <w:rFonts w:hint="eastAsia" w:ascii="宋体" w:hAnsi="宋体" w:eastAsia="宋体" w:cs="宋体"/>
                <w:b w:val="0"/>
                <w:bCs w:val="0"/>
                <w:color w:val="000000"/>
                <w:sz w:val="24"/>
                <w:szCs w:val="24"/>
                <w:u w:val="none"/>
              </w:rPr>
            </w:pPr>
            <w:r>
              <w:rPr>
                <w:rFonts w:hint="eastAsia" w:ascii="宋体" w:hAnsi="宋体" w:eastAsia="宋体" w:cs="宋体"/>
                <w:b w:val="0"/>
                <w:bCs w:val="0"/>
                <w:color w:val="000000"/>
                <w:sz w:val="24"/>
                <w:szCs w:val="24"/>
                <w:u w:val="none"/>
              </w:rPr>
              <w:t>Python语言程序设</w:t>
            </w:r>
          </w:p>
          <w:p>
            <w:pPr>
              <w:spacing w:line="480" w:lineRule="exact"/>
              <w:jc w:val="center"/>
              <w:rPr>
                <w:rFonts w:hint="eastAsia" w:ascii="宋体" w:hAnsi="宋体" w:eastAsia="宋体" w:cs="宋体"/>
                <w:b w:val="0"/>
                <w:bCs w:val="0"/>
                <w:color w:val="000000"/>
                <w:sz w:val="24"/>
                <w:szCs w:val="24"/>
                <w:u w:val="none"/>
              </w:rPr>
            </w:pPr>
            <w:r>
              <w:rPr>
                <w:rFonts w:hint="eastAsia" w:ascii="宋体" w:hAnsi="宋体" w:eastAsia="宋体" w:cs="宋体"/>
                <w:b w:val="0"/>
                <w:bCs w:val="0"/>
                <w:color w:val="000000"/>
                <w:sz w:val="24"/>
                <w:szCs w:val="24"/>
                <w:u w:val="none"/>
              </w:rPr>
              <w:t>计</w:t>
            </w:r>
          </w:p>
        </w:tc>
        <w:tc>
          <w:tcPr>
            <w:tcW w:w="973" w:type="pct"/>
            <w:vMerge w:val="continue"/>
          </w:tcPr>
          <w:p>
            <w:pPr>
              <w:spacing w:line="480" w:lineRule="exact"/>
              <w:jc w:val="center"/>
              <w:rPr>
                <w:rFonts w:hint="eastAsia" w:ascii="宋体" w:hAnsi="宋体" w:eastAsia="宋体" w:cs="宋体"/>
                <w:b w:val="0"/>
                <w:bCs w:val="0"/>
                <w:color w:val="000000"/>
                <w:sz w:val="24"/>
                <w:szCs w:val="24"/>
                <w:u w:val="none"/>
              </w:rPr>
            </w:pPr>
          </w:p>
        </w:tc>
        <w:tc>
          <w:tcPr>
            <w:tcW w:w="672" w:type="pct"/>
            <w:vMerge w:val="continue"/>
          </w:tcPr>
          <w:p>
            <w:pPr>
              <w:spacing w:line="480" w:lineRule="exact"/>
              <w:jc w:val="left"/>
              <w:rPr>
                <w:rFonts w:hint="eastAsia" w:ascii="宋体" w:hAnsi="宋体" w:eastAsia="宋体" w:cs="宋体"/>
                <w:b w:val="0"/>
                <w:bCs w:val="0"/>
                <w:color w:val="000000"/>
                <w:sz w:val="24"/>
                <w:szCs w:val="24"/>
                <w:u w:val="none"/>
              </w:rPr>
            </w:pPr>
          </w:p>
        </w:tc>
        <w:tc>
          <w:tcPr>
            <w:tcW w:w="649" w:type="pct"/>
            <w:vMerge w:val="continue"/>
          </w:tcPr>
          <w:p>
            <w:pPr>
              <w:spacing w:line="480" w:lineRule="exact"/>
              <w:jc w:val="left"/>
              <w:rPr>
                <w:rFonts w:hint="eastAsia" w:ascii="宋体" w:hAnsi="宋体" w:eastAsia="宋体" w:cs="宋体"/>
                <w:b w:val="0"/>
                <w:b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vMerge w:val="continue"/>
            <w:vAlign w:val="center"/>
          </w:tcPr>
          <w:p>
            <w:pPr>
              <w:spacing w:line="480" w:lineRule="exact"/>
              <w:jc w:val="center"/>
              <w:rPr>
                <w:rFonts w:hint="eastAsia" w:ascii="宋体" w:hAnsi="宋体" w:eastAsia="宋体" w:cs="宋体"/>
                <w:b w:val="0"/>
                <w:bCs w:val="0"/>
                <w:color w:val="000000"/>
                <w:sz w:val="24"/>
                <w:szCs w:val="24"/>
                <w:u w:val="none"/>
              </w:rPr>
            </w:pPr>
          </w:p>
        </w:tc>
        <w:tc>
          <w:tcPr>
            <w:tcW w:w="752" w:type="pct"/>
            <w:vAlign w:val="center"/>
          </w:tcPr>
          <w:p>
            <w:pPr>
              <w:spacing w:line="480" w:lineRule="exact"/>
              <w:jc w:val="center"/>
              <w:rPr>
                <w:rFonts w:hint="eastAsia" w:ascii="宋体" w:hAnsi="宋体" w:eastAsia="宋体" w:cs="宋体"/>
                <w:b w:val="0"/>
                <w:bCs w:val="0"/>
                <w:color w:val="000000"/>
                <w:sz w:val="24"/>
                <w:szCs w:val="24"/>
                <w:u w:val="none"/>
              </w:rPr>
            </w:pPr>
            <w:r>
              <w:rPr>
                <w:rFonts w:hint="eastAsia" w:ascii="宋体" w:hAnsi="宋体" w:eastAsia="宋体" w:cs="宋体"/>
                <w:b w:val="0"/>
                <w:bCs w:val="0"/>
                <w:color w:val="000000"/>
                <w:sz w:val="24"/>
                <w:szCs w:val="24"/>
                <w:u w:val="none"/>
              </w:rPr>
              <w:t>67</w:t>
            </w:r>
          </w:p>
        </w:tc>
        <w:tc>
          <w:tcPr>
            <w:tcW w:w="1330" w:type="pct"/>
            <w:vAlign w:val="center"/>
          </w:tcPr>
          <w:p>
            <w:pPr>
              <w:spacing w:line="400" w:lineRule="exact"/>
              <w:jc w:val="center"/>
              <w:rPr>
                <w:rFonts w:hint="eastAsia" w:ascii="宋体" w:hAnsi="宋体" w:eastAsia="宋体" w:cs="宋体"/>
                <w:b w:val="0"/>
                <w:bCs w:val="0"/>
                <w:color w:val="000000"/>
                <w:sz w:val="24"/>
                <w:szCs w:val="24"/>
                <w:u w:val="none"/>
              </w:rPr>
            </w:pPr>
            <w:r>
              <w:rPr>
                <w:rFonts w:hint="eastAsia" w:ascii="宋体" w:hAnsi="宋体" w:eastAsia="宋体" w:cs="宋体"/>
                <w:b w:val="0"/>
                <w:bCs w:val="0"/>
                <w:color w:val="000000"/>
                <w:sz w:val="24"/>
                <w:szCs w:val="24"/>
                <w:u w:val="none"/>
              </w:rPr>
              <w:t>WPS Office高级应用与设计</w:t>
            </w:r>
          </w:p>
        </w:tc>
        <w:tc>
          <w:tcPr>
            <w:tcW w:w="973" w:type="pct"/>
            <w:vMerge w:val="continue"/>
          </w:tcPr>
          <w:p>
            <w:pPr>
              <w:spacing w:line="480" w:lineRule="exact"/>
              <w:jc w:val="center"/>
              <w:rPr>
                <w:rFonts w:hint="eastAsia" w:ascii="宋体" w:hAnsi="宋体" w:eastAsia="宋体" w:cs="宋体"/>
                <w:b w:val="0"/>
                <w:bCs w:val="0"/>
                <w:color w:val="000000"/>
                <w:sz w:val="24"/>
                <w:szCs w:val="24"/>
                <w:u w:val="none"/>
              </w:rPr>
            </w:pPr>
          </w:p>
        </w:tc>
        <w:tc>
          <w:tcPr>
            <w:tcW w:w="672" w:type="pct"/>
            <w:vMerge w:val="continue"/>
          </w:tcPr>
          <w:p>
            <w:pPr>
              <w:spacing w:line="480" w:lineRule="exact"/>
              <w:jc w:val="left"/>
              <w:rPr>
                <w:rFonts w:hint="eastAsia" w:ascii="宋体" w:hAnsi="宋体" w:eastAsia="宋体" w:cs="宋体"/>
                <w:b w:val="0"/>
                <w:bCs w:val="0"/>
                <w:color w:val="000000"/>
                <w:sz w:val="24"/>
                <w:szCs w:val="24"/>
                <w:u w:val="none"/>
              </w:rPr>
            </w:pPr>
          </w:p>
        </w:tc>
        <w:tc>
          <w:tcPr>
            <w:tcW w:w="649" w:type="pct"/>
            <w:vMerge w:val="continue"/>
          </w:tcPr>
          <w:p>
            <w:pPr>
              <w:spacing w:line="480" w:lineRule="exact"/>
              <w:jc w:val="left"/>
              <w:rPr>
                <w:rFonts w:hint="eastAsia" w:ascii="宋体" w:hAnsi="宋体" w:eastAsia="宋体" w:cs="宋体"/>
                <w:b w:val="0"/>
                <w:bCs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ind w:firstLine="643" w:firstLineChars="200"/>
        <w:textAlignment w:val="auto"/>
        <w:rPr>
          <w:rFonts w:hint="eastAsia" w:ascii="黑体" w:hAnsi="黑体" w:eastAsia="黑体" w:cs="黑体"/>
          <w:b/>
          <w:bCs/>
          <w:color w:val="000000"/>
          <w:sz w:val="32"/>
          <w:szCs w:val="32"/>
          <w:u w:val="none"/>
        </w:rPr>
      </w:pPr>
      <w:r>
        <w:rPr>
          <w:rFonts w:hint="eastAsia" w:ascii="黑体" w:hAnsi="黑体" w:eastAsia="黑体" w:cs="黑体"/>
          <w:b/>
          <w:bCs/>
          <w:color w:val="000000"/>
          <w:sz w:val="32"/>
          <w:szCs w:val="32"/>
          <w:u w:val="none"/>
          <w:lang w:eastAsia="zh-CN"/>
        </w:rPr>
        <w:t>四、</w:t>
      </w:r>
      <w:r>
        <w:rPr>
          <w:rFonts w:hint="eastAsia" w:ascii="黑体" w:hAnsi="黑体" w:eastAsia="黑体" w:cs="黑体"/>
          <w:b/>
          <w:bCs/>
          <w:color w:val="000000"/>
          <w:sz w:val="32"/>
          <w:szCs w:val="32"/>
          <w:u w:val="none"/>
        </w:rPr>
        <w:t>相关费用</w:t>
      </w:r>
    </w:p>
    <w:p>
      <w:pPr>
        <w:keepNext w:val="0"/>
        <w:keepLines w:val="0"/>
        <w:pageBreakBefore w:val="0"/>
        <w:widowControl w:val="0"/>
        <w:kinsoku/>
        <w:wordWrap/>
        <w:overflowPunct/>
        <w:topLinePunct w:val="0"/>
        <w:autoSpaceDE/>
        <w:autoSpaceDN/>
        <w:bidi w:val="0"/>
        <w:adjustRightInd/>
        <w:snapToGrid/>
        <w:spacing w:line="560" w:lineRule="exact"/>
        <w:ind w:firstLine="561" w:firstLineChars="187"/>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报考费</w:t>
      </w:r>
    </w:p>
    <w:p>
      <w:pPr>
        <w:keepNext w:val="0"/>
        <w:keepLines w:val="0"/>
        <w:pageBreakBefore w:val="0"/>
        <w:widowControl w:val="0"/>
        <w:kinsoku/>
        <w:wordWrap/>
        <w:overflowPunct/>
        <w:topLinePunct w:val="0"/>
        <w:autoSpaceDE/>
        <w:autoSpaceDN/>
        <w:bidi w:val="0"/>
        <w:adjustRightInd/>
        <w:snapToGrid/>
        <w:spacing w:line="560" w:lineRule="exact"/>
        <w:ind w:firstLine="561" w:firstLineChars="187"/>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根据《湖南省发展与改革委员会、湖南省财政厅关于发布全省教育系统行政事业性收费项目和标准的通知》（湘发改价费〔2018〕531号）文件规定，NCRE一、二级考试报名费为95元。报名方式采取考生个人网上报名缴费。</w:t>
      </w:r>
    </w:p>
    <w:p>
      <w:pPr>
        <w:keepNext w:val="0"/>
        <w:keepLines w:val="0"/>
        <w:pageBreakBefore w:val="0"/>
        <w:widowControl w:val="0"/>
        <w:kinsoku/>
        <w:wordWrap/>
        <w:overflowPunct/>
        <w:topLinePunct w:val="0"/>
        <w:autoSpaceDE/>
        <w:autoSpaceDN/>
        <w:bidi w:val="0"/>
        <w:adjustRightInd/>
        <w:snapToGrid/>
        <w:spacing w:line="560" w:lineRule="exact"/>
        <w:ind w:firstLine="561" w:firstLineChars="187"/>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培训费</w:t>
      </w:r>
    </w:p>
    <w:p>
      <w:pPr>
        <w:keepNext w:val="0"/>
        <w:keepLines w:val="0"/>
        <w:pageBreakBefore w:val="0"/>
        <w:widowControl w:val="0"/>
        <w:kinsoku/>
        <w:wordWrap/>
        <w:overflowPunct/>
        <w:topLinePunct w:val="0"/>
        <w:autoSpaceDE/>
        <w:autoSpaceDN/>
        <w:bidi w:val="0"/>
        <w:adjustRightInd/>
        <w:snapToGrid/>
        <w:spacing w:line="560" w:lineRule="exact"/>
        <w:ind w:firstLine="561" w:firstLineChars="187"/>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各班班长或学委以班级为单位，到图书馆财务室105室找刘老师缴费；缴费凭据交莫从明老师处(航母楼教务处207室)。</w:t>
      </w: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ind w:firstLine="643" w:firstLineChars="200"/>
        <w:textAlignment w:val="auto"/>
        <w:rPr>
          <w:rFonts w:hint="eastAsia" w:ascii="黑体" w:hAnsi="黑体" w:eastAsia="黑体" w:cs="黑体"/>
          <w:b/>
          <w:bCs/>
          <w:color w:val="000000"/>
          <w:sz w:val="32"/>
          <w:szCs w:val="32"/>
          <w:u w:val="none"/>
        </w:rPr>
      </w:pPr>
      <w:r>
        <w:rPr>
          <w:rFonts w:hint="eastAsia" w:ascii="黑体" w:hAnsi="黑体" w:eastAsia="黑体" w:cs="黑体"/>
          <w:b/>
          <w:bCs/>
          <w:color w:val="000000"/>
          <w:sz w:val="32"/>
          <w:szCs w:val="32"/>
          <w:u w:val="none"/>
          <w:lang w:eastAsia="zh-CN"/>
        </w:rPr>
        <w:t>五、</w:t>
      </w:r>
      <w:r>
        <w:rPr>
          <w:rFonts w:hint="eastAsia" w:ascii="黑体" w:hAnsi="黑体" w:eastAsia="黑体" w:cs="黑体"/>
          <w:b/>
          <w:bCs/>
          <w:color w:val="000000"/>
          <w:sz w:val="32"/>
          <w:szCs w:val="32"/>
          <w:u w:val="none"/>
        </w:rPr>
        <w:t>特别提醒</w:t>
      </w:r>
    </w:p>
    <w:p>
      <w:pPr>
        <w:keepNext w:val="0"/>
        <w:keepLines w:val="0"/>
        <w:pageBreakBefore w:val="0"/>
        <w:widowControl w:val="0"/>
        <w:kinsoku/>
        <w:wordWrap/>
        <w:overflowPunct/>
        <w:topLinePunct w:val="0"/>
        <w:autoSpaceDE/>
        <w:autoSpaceDN/>
        <w:bidi w:val="0"/>
        <w:adjustRightInd/>
        <w:snapToGrid/>
        <w:spacing w:line="560" w:lineRule="exact"/>
        <w:ind w:firstLine="561" w:firstLineChars="187"/>
        <w:textAlignment w:val="auto"/>
        <w:rPr>
          <w:rFonts w:hint="eastAsia" w:ascii="仿宋" w:hAnsi="仿宋" w:eastAsia="仿宋" w:cs="仿宋"/>
          <w:color w:val="000000"/>
          <w:spacing w:val="-6"/>
          <w:sz w:val="30"/>
          <w:szCs w:val="30"/>
          <w:u w:val="none"/>
        </w:rPr>
      </w:pPr>
      <w:r>
        <w:rPr>
          <w:rFonts w:hint="eastAsia" w:ascii="仿宋" w:hAnsi="仿宋" w:eastAsia="仿宋" w:cs="仿宋"/>
          <w:color w:val="000000"/>
          <w:sz w:val="30"/>
          <w:szCs w:val="30"/>
          <w:u w:val="none"/>
        </w:rPr>
        <w:t>1</w:t>
      </w:r>
      <w:r>
        <w:rPr>
          <w:rFonts w:hint="eastAsia" w:ascii="仿宋" w:hAnsi="仿宋" w:eastAsia="仿宋" w:cs="仿宋"/>
          <w:color w:val="000000"/>
          <w:spacing w:val="-4"/>
          <w:sz w:val="30"/>
          <w:szCs w:val="30"/>
          <w:u w:val="none"/>
        </w:rPr>
        <w:t>．</w:t>
      </w:r>
      <w:r>
        <w:rPr>
          <w:rFonts w:hint="eastAsia" w:ascii="仿宋" w:hAnsi="仿宋" w:eastAsia="仿宋" w:cs="仿宋"/>
          <w:color w:val="000000"/>
          <w:sz w:val="30"/>
          <w:szCs w:val="30"/>
          <w:u w:val="none"/>
        </w:rPr>
        <w:t>考点院校在籍考生在本考点报名。报名时考生应提供有效身份证件：居民身份证（</w:t>
      </w:r>
      <w:r>
        <w:rPr>
          <w:rFonts w:hint="eastAsia" w:ascii="仿宋" w:hAnsi="仿宋" w:eastAsia="仿宋" w:cs="仿宋"/>
          <w:sz w:val="30"/>
          <w:szCs w:val="30"/>
          <w:u w:val="none"/>
        </w:rPr>
        <w:t>含临时身份证</w:t>
      </w:r>
      <w:r>
        <w:rPr>
          <w:rFonts w:hint="eastAsia" w:ascii="仿宋" w:hAnsi="仿宋" w:eastAsia="仿宋" w:cs="仿宋"/>
          <w:color w:val="000000"/>
          <w:sz w:val="30"/>
          <w:szCs w:val="30"/>
          <w:u w:val="none"/>
        </w:rPr>
        <w:t>）、台湾居民往来大陆通行证、</w:t>
      </w:r>
      <w:r>
        <w:rPr>
          <w:rFonts w:hint="eastAsia" w:ascii="仿宋" w:hAnsi="仿宋" w:eastAsia="仿宋" w:cs="仿宋"/>
          <w:sz w:val="30"/>
          <w:szCs w:val="30"/>
          <w:u w:val="none"/>
        </w:rPr>
        <w:t>港澳居民来往内地通行证</w:t>
      </w:r>
      <w:r>
        <w:rPr>
          <w:rFonts w:hint="eastAsia" w:ascii="仿宋" w:hAnsi="仿宋" w:eastAsia="仿宋" w:cs="仿宋"/>
          <w:color w:val="000000"/>
          <w:sz w:val="30"/>
          <w:szCs w:val="30"/>
          <w:u w:val="none"/>
        </w:rPr>
        <w:t>和护照，提交</w:t>
      </w:r>
      <w:r>
        <w:rPr>
          <w:rFonts w:hint="eastAsia" w:ascii="仿宋" w:hAnsi="仿宋" w:eastAsia="仿宋" w:cs="仿宋"/>
          <w:color w:val="000000"/>
          <w:spacing w:val="-6"/>
          <w:sz w:val="30"/>
          <w:szCs w:val="30"/>
          <w:u w:val="none"/>
        </w:rPr>
        <w:t>真实、准确的</w:t>
      </w:r>
      <w:r>
        <w:rPr>
          <w:rFonts w:hint="eastAsia" w:ascii="仿宋" w:hAnsi="仿宋" w:eastAsia="仿宋" w:cs="仿宋"/>
          <w:color w:val="000000"/>
          <w:sz w:val="30"/>
          <w:szCs w:val="30"/>
          <w:u w:val="none"/>
        </w:rPr>
        <w:t>报名信息</w:t>
      </w:r>
      <w:r>
        <w:rPr>
          <w:rFonts w:hint="eastAsia" w:ascii="仿宋" w:hAnsi="仿宋" w:eastAsia="仿宋" w:cs="仿宋"/>
          <w:color w:val="000000"/>
          <w:spacing w:val="-6"/>
          <w:sz w:val="30"/>
          <w:szCs w:val="30"/>
          <w:u w:val="none"/>
        </w:rPr>
        <w:t>，</w:t>
      </w:r>
      <w:r>
        <w:rPr>
          <w:rFonts w:hint="eastAsia" w:ascii="仿宋" w:hAnsi="仿宋" w:eastAsia="仿宋" w:cs="仿宋"/>
          <w:color w:val="000000"/>
          <w:sz w:val="30"/>
          <w:szCs w:val="30"/>
          <w:u w:val="none"/>
        </w:rPr>
        <w:t>并按要求按时缴纳报名考试费。</w:t>
      </w:r>
      <w:r>
        <w:rPr>
          <w:rFonts w:hint="eastAsia" w:ascii="仿宋" w:hAnsi="仿宋" w:eastAsia="仿宋" w:cs="仿宋"/>
          <w:b/>
          <w:bCs/>
          <w:color w:val="000000"/>
          <w:sz w:val="30"/>
          <w:szCs w:val="30"/>
          <w:u w:val="none"/>
        </w:rPr>
        <w:t>自2022年起，教育部考试中心推出NCRE电子证书，所有符合取证条件的考生都将获得电子证书。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spacing w:val="-4"/>
          <w:sz w:val="30"/>
          <w:szCs w:val="30"/>
          <w:u w:val="none"/>
        </w:rPr>
      </w:pPr>
      <w:r>
        <w:rPr>
          <w:rFonts w:hint="eastAsia" w:ascii="仿宋" w:hAnsi="仿宋" w:eastAsia="仿宋" w:cs="仿宋"/>
          <w:color w:val="000000"/>
          <w:sz w:val="30"/>
          <w:szCs w:val="30"/>
          <w:u w:val="none"/>
        </w:rPr>
        <w:t>2</w:t>
      </w:r>
      <w:r>
        <w:rPr>
          <w:rFonts w:hint="eastAsia" w:ascii="仿宋" w:hAnsi="仿宋" w:eastAsia="仿宋" w:cs="仿宋"/>
          <w:color w:val="000000"/>
          <w:spacing w:val="-4"/>
          <w:sz w:val="30"/>
          <w:szCs w:val="30"/>
          <w:u w:val="none"/>
        </w:rPr>
        <w:t>．考生（或委托人）报名成功并交纳相关科目报考费后，视同其报名科目信息、个人基本信息已经本人核准认同，考点不得修改。如所报考点另有要求以纸质形式确认报名信息的，考生须按要求执行。所有考生签字确认材料，考点须妥善保管半年，不得损毁。</w:t>
      </w:r>
    </w:p>
    <w:p>
      <w:pPr>
        <w:keepNext w:val="0"/>
        <w:keepLines w:val="0"/>
        <w:pageBreakBefore w:val="0"/>
        <w:widowControl w:val="0"/>
        <w:kinsoku/>
        <w:wordWrap/>
        <w:overflowPunct/>
        <w:topLinePunct w:val="0"/>
        <w:autoSpaceDE/>
        <w:autoSpaceDN/>
        <w:bidi w:val="0"/>
        <w:adjustRightInd/>
        <w:snapToGrid/>
        <w:spacing w:line="560" w:lineRule="exact"/>
        <w:ind w:firstLine="584" w:firstLineChars="200"/>
        <w:jc w:val="left"/>
        <w:textAlignment w:val="auto"/>
        <w:rPr>
          <w:rFonts w:hint="eastAsia" w:ascii="仿宋" w:hAnsi="仿宋" w:eastAsia="仿宋" w:cs="仿宋"/>
          <w:color w:val="000000"/>
          <w:spacing w:val="-4"/>
          <w:sz w:val="30"/>
          <w:szCs w:val="30"/>
          <w:u w:val="none"/>
        </w:rPr>
      </w:pPr>
      <w:r>
        <w:rPr>
          <w:rFonts w:hint="eastAsia" w:ascii="仿宋" w:hAnsi="仿宋" w:eastAsia="仿宋" w:cs="仿宋"/>
          <w:color w:val="000000"/>
          <w:spacing w:val="-4"/>
          <w:sz w:val="30"/>
          <w:szCs w:val="30"/>
          <w:u w:val="none"/>
        </w:rPr>
        <w:t>3．根据学校相关规定，学生获得相应全国计算机等级证书可以免修相关计算机课程。</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3．报名信息要求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考点、考生须确保考生所有报名信息的真实、准确、完整，并保证上传照片文件大小为20KB-200KB，格式jpg，防止无效照片。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0"/>
          <w:szCs w:val="30"/>
          <w:u w:val="none"/>
        </w:rPr>
      </w:pPr>
    </w:p>
    <w:p>
      <w:pPr>
        <w:keepNext w:val="0"/>
        <w:keepLines w:val="0"/>
        <w:pageBreakBefore w:val="0"/>
        <w:widowControl w:val="0"/>
        <w:kinsoku/>
        <w:wordWrap/>
        <w:overflowPunct/>
        <w:topLinePunct w:val="0"/>
        <w:autoSpaceDE/>
        <w:autoSpaceDN/>
        <w:bidi w:val="0"/>
        <w:adjustRightInd/>
        <w:snapToGrid/>
        <w:spacing w:line="560" w:lineRule="exact"/>
        <w:ind w:left="-3" w:leftChars="-1"/>
        <w:jc w:val="right"/>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 xml:space="preserve">                           </w:t>
      </w:r>
      <w:bookmarkStart w:id="0" w:name="_GoBack"/>
      <w:bookmarkEnd w:id="0"/>
      <w:r>
        <w:rPr>
          <w:rFonts w:hint="eastAsia" w:ascii="仿宋" w:hAnsi="仿宋" w:eastAsia="仿宋" w:cs="仿宋"/>
          <w:color w:val="000000"/>
          <w:sz w:val="30"/>
          <w:szCs w:val="30"/>
          <w:u w:val="none"/>
        </w:rPr>
        <w:t>教务处</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 xml:space="preserve">                              2021年12月28日</w:t>
      </w:r>
    </w:p>
    <w:p>
      <w:pPr>
        <w:pStyle w:val="3"/>
        <w:keepNext w:val="0"/>
        <w:keepLines w:val="0"/>
        <w:pageBreakBefore w:val="0"/>
        <w:widowControl w:val="0"/>
        <w:kinsoku/>
        <w:wordWrap/>
        <w:overflowPunct/>
        <w:topLinePunct w:val="0"/>
        <w:autoSpaceDE/>
        <w:autoSpaceDN/>
        <w:bidi w:val="0"/>
        <w:adjustRightInd/>
        <w:snapToGrid/>
        <w:spacing w:line="560" w:lineRule="exact"/>
        <w:ind w:firstLine="5400" w:firstLineChars="1800"/>
        <w:jc w:val="right"/>
        <w:textAlignment w:val="auto"/>
        <w:rPr>
          <w:rFonts w:hint="eastAsia" w:ascii="仿宋" w:hAnsi="仿宋" w:eastAsia="仿宋" w:cs="仿宋"/>
          <w:sz w:val="30"/>
          <w:szCs w:val="30"/>
          <w:u w:val="none"/>
        </w:rPr>
      </w:pPr>
    </w:p>
    <w:sectPr>
      <w:headerReference r:id="rId3" w:type="default"/>
      <w:footerReference r:id="rId4" w:type="default"/>
      <w:pgSz w:w="11906" w:h="16838"/>
      <w:pgMar w:top="1701" w:right="1474" w:bottom="1701" w:left="1474" w:header="851" w:footer="992" w:gutter="0"/>
      <w:pgNumType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u w:val="none"/>
                            </w:rPr>
                          </w:pPr>
                          <w:r>
                            <w:rPr>
                              <w:u w:val="none"/>
                            </w:rPr>
                            <w:t xml:space="preserve">— </w:t>
                          </w:r>
                          <w:r>
                            <w:rPr>
                              <w:u w:val="none"/>
                            </w:rPr>
                            <w:fldChar w:fldCharType="begin"/>
                          </w:r>
                          <w:r>
                            <w:rPr>
                              <w:u w:val="none"/>
                            </w:rPr>
                            <w:instrText xml:space="preserve"> PAGE  \* MERGEFORMAT </w:instrText>
                          </w:r>
                          <w:r>
                            <w:rPr>
                              <w:u w:val="none"/>
                            </w:rPr>
                            <w:fldChar w:fldCharType="separate"/>
                          </w:r>
                          <w:r>
                            <w:rPr>
                              <w:u w:val="none"/>
                            </w:rPr>
                            <w:t>3</w:t>
                          </w:r>
                          <w:r>
                            <w:rPr>
                              <w:u w:val="none"/>
                            </w:rPr>
                            <w:fldChar w:fldCharType="end"/>
                          </w:r>
                          <w:r>
                            <w:rPr>
                              <w:u w:val="none"/>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5"/>
                      <w:rPr>
                        <w:u w:val="none"/>
                      </w:rPr>
                    </w:pPr>
                    <w:r>
                      <w:rPr>
                        <w:u w:val="none"/>
                      </w:rPr>
                      <w:t xml:space="preserve">— </w:t>
                    </w:r>
                    <w:r>
                      <w:rPr>
                        <w:u w:val="none"/>
                      </w:rPr>
                      <w:fldChar w:fldCharType="begin"/>
                    </w:r>
                    <w:r>
                      <w:rPr>
                        <w:u w:val="none"/>
                      </w:rPr>
                      <w:instrText xml:space="preserve"> PAGE  \* MERGEFORMAT </w:instrText>
                    </w:r>
                    <w:r>
                      <w:rPr>
                        <w:u w:val="none"/>
                      </w:rPr>
                      <w:fldChar w:fldCharType="separate"/>
                    </w:r>
                    <w:r>
                      <w:rPr>
                        <w:u w:val="none"/>
                      </w:rPr>
                      <w:t>3</w:t>
                    </w:r>
                    <w:r>
                      <w:rPr>
                        <w:u w:val="none"/>
                      </w:rPr>
                      <w:fldChar w:fldCharType="end"/>
                    </w:r>
                    <w:r>
                      <w:rPr>
                        <w:u w:val="none"/>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5048C"/>
    <w:rsid w:val="0006006F"/>
    <w:rsid w:val="00072349"/>
    <w:rsid w:val="00076615"/>
    <w:rsid w:val="000852A1"/>
    <w:rsid w:val="000E57B0"/>
    <w:rsid w:val="001307CD"/>
    <w:rsid w:val="001D2ECE"/>
    <w:rsid w:val="001E76DD"/>
    <w:rsid w:val="002219F1"/>
    <w:rsid w:val="00224975"/>
    <w:rsid w:val="002809D9"/>
    <w:rsid w:val="002C445C"/>
    <w:rsid w:val="003038F2"/>
    <w:rsid w:val="003244ED"/>
    <w:rsid w:val="003D0D1E"/>
    <w:rsid w:val="003D4092"/>
    <w:rsid w:val="0040023B"/>
    <w:rsid w:val="0040473E"/>
    <w:rsid w:val="00455858"/>
    <w:rsid w:val="004B2F90"/>
    <w:rsid w:val="004C4205"/>
    <w:rsid w:val="00502D0C"/>
    <w:rsid w:val="00517750"/>
    <w:rsid w:val="005655E6"/>
    <w:rsid w:val="005C7FD8"/>
    <w:rsid w:val="00654B5E"/>
    <w:rsid w:val="00662608"/>
    <w:rsid w:val="006964D9"/>
    <w:rsid w:val="006C6AAF"/>
    <w:rsid w:val="006D0340"/>
    <w:rsid w:val="0078196C"/>
    <w:rsid w:val="0078786E"/>
    <w:rsid w:val="00810A29"/>
    <w:rsid w:val="00832A73"/>
    <w:rsid w:val="0083373B"/>
    <w:rsid w:val="0083442C"/>
    <w:rsid w:val="00861292"/>
    <w:rsid w:val="00904786"/>
    <w:rsid w:val="00951133"/>
    <w:rsid w:val="00957232"/>
    <w:rsid w:val="0098360A"/>
    <w:rsid w:val="00A55AE6"/>
    <w:rsid w:val="00AC43D1"/>
    <w:rsid w:val="00AD1D06"/>
    <w:rsid w:val="00AD2ED5"/>
    <w:rsid w:val="00AE067A"/>
    <w:rsid w:val="00B51001"/>
    <w:rsid w:val="00BB59D8"/>
    <w:rsid w:val="00C415A2"/>
    <w:rsid w:val="00C64C7C"/>
    <w:rsid w:val="00D57FE1"/>
    <w:rsid w:val="00D94219"/>
    <w:rsid w:val="00DD7F10"/>
    <w:rsid w:val="00DF7621"/>
    <w:rsid w:val="00E95A7B"/>
    <w:rsid w:val="00EA184A"/>
    <w:rsid w:val="00F3240E"/>
    <w:rsid w:val="00FB3A61"/>
    <w:rsid w:val="01847561"/>
    <w:rsid w:val="02397C42"/>
    <w:rsid w:val="04DA7796"/>
    <w:rsid w:val="080359B2"/>
    <w:rsid w:val="086F4243"/>
    <w:rsid w:val="08D0219C"/>
    <w:rsid w:val="0A3210AA"/>
    <w:rsid w:val="0AD12100"/>
    <w:rsid w:val="140B4E21"/>
    <w:rsid w:val="16DD179D"/>
    <w:rsid w:val="17F9032C"/>
    <w:rsid w:val="1E115368"/>
    <w:rsid w:val="1ED464FD"/>
    <w:rsid w:val="26FC058F"/>
    <w:rsid w:val="28432453"/>
    <w:rsid w:val="294F5FB7"/>
    <w:rsid w:val="34B07329"/>
    <w:rsid w:val="38F9325F"/>
    <w:rsid w:val="393165BA"/>
    <w:rsid w:val="48D779D2"/>
    <w:rsid w:val="4F8655B8"/>
    <w:rsid w:val="50E377D9"/>
    <w:rsid w:val="56F204AC"/>
    <w:rsid w:val="57D97FC9"/>
    <w:rsid w:val="58B256D1"/>
    <w:rsid w:val="5E527FE2"/>
    <w:rsid w:val="5EF71DE8"/>
    <w:rsid w:val="5F703DE0"/>
    <w:rsid w:val="64B57D3B"/>
    <w:rsid w:val="68924AFA"/>
    <w:rsid w:val="6AE24436"/>
    <w:rsid w:val="6BAD0377"/>
    <w:rsid w:val="6BF86166"/>
    <w:rsid w:val="6CE85832"/>
    <w:rsid w:val="6FB5048C"/>
    <w:rsid w:val="6FEC3913"/>
    <w:rsid w:val="70185DCB"/>
    <w:rsid w:val="73597162"/>
    <w:rsid w:val="73E759F0"/>
    <w:rsid w:val="7612563F"/>
    <w:rsid w:val="77CB4F00"/>
    <w:rsid w:val="78DA47FE"/>
    <w:rsid w:val="78EC1CD4"/>
    <w:rsid w:val="79AC320B"/>
    <w:rsid w:val="7AF3632D"/>
    <w:rsid w:val="7EB85535"/>
    <w:rsid w:val="7F385BD1"/>
    <w:rsid w:val="7F3936FB"/>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32"/>
      <w:u w:val="single"/>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style>
  <w:style w:type="paragraph" w:styleId="3">
    <w:name w:val="Plain Text"/>
    <w:basedOn w:val="1"/>
    <w:link w:val="14"/>
    <w:qFormat/>
    <w:uiPriority w:val="0"/>
    <w:rPr>
      <w:rFonts w:ascii="宋体" w:hAnsi="Courier New" w:eastAsiaTheme="minorEastAsia" w:cstheme="minorBidi"/>
      <w:sz w:val="21"/>
      <w:szCs w:val="24"/>
      <w:u w:val="none"/>
    </w:rPr>
  </w:style>
  <w:style w:type="paragraph" w:styleId="4">
    <w:name w:val="Date"/>
    <w:basedOn w:val="1"/>
    <w:next w:val="1"/>
    <w:link w:val="12"/>
    <w:qFormat/>
    <w:uiPriority w:val="0"/>
    <w:pPr>
      <w:ind w:left="100" w:leftChars="2500"/>
    </w:p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pPr>
    <w:rPr>
      <w:sz w:val="24"/>
    </w:rPr>
  </w:style>
  <w:style w:type="paragraph" w:styleId="8">
    <w:name w:val="Title"/>
    <w:basedOn w:val="1"/>
    <w:qFormat/>
    <w:uiPriority w:val="1"/>
    <w:pPr>
      <w:spacing w:line="1719" w:lineRule="exact"/>
      <w:ind w:right="171"/>
      <w:jc w:val="center"/>
    </w:pPr>
    <w:rPr>
      <w:rFonts w:ascii="宋体" w:hAnsi="宋体" w:cs="宋体"/>
      <w:b/>
      <w:bCs/>
      <w:sz w:val="144"/>
      <w:szCs w:val="14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日期 字符"/>
    <w:basedOn w:val="11"/>
    <w:link w:val="4"/>
    <w:qFormat/>
    <w:uiPriority w:val="0"/>
    <w:rPr>
      <w:rFonts w:ascii="Calibri" w:hAnsi="Calibri"/>
      <w:kern w:val="2"/>
      <w:sz w:val="32"/>
      <w:szCs w:val="32"/>
      <w:u w:val="single"/>
      <w:lang w:bidi="ar-SA"/>
    </w:rPr>
  </w:style>
  <w:style w:type="character" w:customStyle="1" w:styleId="13">
    <w:name w:val="页脚 字符"/>
    <w:basedOn w:val="11"/>
    <w:link w:val="5"/>
    <w:qFormat/>
    <w:uiPriority w:val="99"/>
    <w:rPr>
      <w:rFonts w:ascii="Calibri" w:hAnsi="Calibri"/>
      <w:kern w:val="2"/>
      <w:sz w:val="18"/>
      <w:szCs w:val="32"/>
      <w:u w:val="single"/>
      <w:lang w:bidi="ar-SA"/>
    </w:rPr>
  </w:style>
  <w:style w:type="character" w:customStyle="1" w:styleId="14">
    <w:name w:val="纯文本 字符"/>
    <w:basedOn w:val="11"/>
    <w:link w:val="3"/>
    <w:qFormat/>
    <w:uiPriority w:val="0"/>
    <w:rPr>
      <w:rFonts w:ascii="宋体" w:hAnsi="Courier New" w:eastAsiaTheme="minorEastAsia" w:cstheme="minorBidi"/>
      <w:kern w:val="2"/>
      <w:sz w:val="21"/>
      <w:szCs w:val="24"/>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E13082-5FFC-4681-8EA6-0DDCB3E8C185}">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250</Words>
  <Characters>1429</Characters>
  <Lines>11</Lines>
  <Paragraphs>3</Paragraphs>
  <TotalTime>11</TotalTime>
  <ScaleCrop>false</ScaleCrop>
  <LinksUpToDate>false</LinksUpToDate>
  <CharactersWithSpaces>1676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2021-12-01T00:10:00Z</dcterms:created>
  <dc:creator>KETTERING</dc:creator>
  <cp:lastModifiedBy>Administrator</cp:lastModifiedBy>
  <dcterms:modified xsi:type="dcterms:W3CDTF">2021-12-30T00:54:21Z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7765C830D3F845D081A01CCBAA76B364</vt:lpwstr>
  </property>
</Properties>
</file>